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5B4AE3"/>
          <w:sz w:val="48"/>
        </w:rPr>
        <w:t>KI-Governance-Policy</w:t>
      </w:r>
    </w:p>
    <w:p>
      <w:r>
        <w:rPr>
          <w:color w:val="525874"/>
          <w:sz w:val="22"/>
        </w:rPr>
        <w:t>Vorlage für Unternehmen: Datenklassen, Anbieterprüfung, Rollen, Incident-Plan und Review</w:t>
      </w:r>
    </w:p>
    <w:p>
      <w:r>
        <w:rPr>
          <w:i/>
          <w:color w:val="525874"/>
          <w:sz w:val="18"/>
        </w:rPr>
        <w:t>Redaktionelle Vorlage von KI-Radar.net. Keine Rechts-, Steuer-, Datenschutz- oder IT-Sicherheitsberatung.</w:t>
      </w:r>
    </w:p>
    <w:p>
      <w:pPr>
        <w:ind w:left="113" w:right="113"/>
      </w:pPr>
      <w:r>
        <w:rPr>
          <w:b/>
          <w:color w:val="5B4AE3"/>
          <w:sz w:val="20"/>
        </w:rPr>
        <w:t xml:space="preserve">Governance-Ziel: </w:t>
      </w:r>
      <w:r>
        <w:rPr>
          <w:color w:val="0A0E27"/>
          <w:sz w:val="19"/>
        </w:rPr>
        <w:t>KI soll produktiv nutzbar sein, ohne Daten, Rechte, Qualität und Verantwortung aus der Hand zu geben. Diese Vorlage ist ein operativer Startpunkt für Pilot und Rollout.</w:t>
      </w:r>
    </w:p>
    <w:p/>
    <w:p>
      <w:pPr>
        <w:pStyle w:val="Heading1"/>
      </w:pPr>
      <w:r>
        <w:t>1. Ziel und Scope</w:t>
      </w:r>
    </w:p>
    <w:p>
      <w:r>
        <w:t>Diese Policy regelt den Einsatz von KI-Systemen für interne Wissensarbeit, Recherche, Dokumentenanalyse, Kommunikation, Automatisierung und Fachprozesse.</w:t>
      </w:r>
    </w:p>
    <w:p>
      <w:r>
        <w:t>Sie gilt für freigegebene Unternehmensaccounts, angebundene KI-Systeme, Fachtools und agentische Workflows.</w:t>
      </w:r>
    </w:p>
    <w:p>
      <w:pPr>
        <w:pStyle w:val="Heading1"/>
      </w:pPr>
      <w:r>
        <w:t>2. Rollenmodell</w:t>
      </w:r>
    </w:p>
    <w:p>
      <w:r>
        <w:t>Fachbereich definiert Use Case und Qualität. IT verantwortet Integration, SSO und Berechtigungen. Datenschutz prüft Rechtsgrundlage und Datenverarbeitung. Informationssicherheit prüft Risiko, Logs und Incident-Prozess. Management entscheidet über Risikoakzeptanz.</w:t>
      </w:r>
    </w:p>
    <w:p>
      <w:pPr>
        <w:pStyle w:val="Heading1"/>
      </w:pPr>
      <w:r>
        <w:t>3. Datenklassen und Zulässigkeit</w:t>
      </w:r>
    </w:p>
    <w:p>
      <w:pPr>
        <w:pStyle w:val="ListBullet"/>
      </w:pPr>
      <w:r>
        <w:rPr>
          <w:b/>
          <w:color w:val="0A0E27"/>
        </w:rPr>
        <w:t xml:space="preserve">Öffentlich: </w:t>
      </w:r>
      <w:r>
        <w:rPr>
          <w:color w:val="0A0E27"/>
        </w:rPr>
        <w:t>Beispiele: Presse, Website, öffentliche Studien | Mindestanforderung: Freigegebenes Tool, Quellenprüfung</w:t>
      </w:r>
    </w:p>
    <w:p>
      <w:pPr>
        <w:pStyle w:val="ListBullet"/>
      </w:pPr>
      <w:r>
        <w:rPr>
          <w:b/>
          <w:color w:val="0A0E27"/>
        </w:rPr>
        <w:t xml:space="preserve">Intern: </w:t>
      </w:r>
      <w:r>
        <w:rPr>
          <w:color w:val="0A0E27"/>
        </w:rPr>
        <w:t>Beispiele: Prozesse, Projektunterlagen, allgemeines Wissen | Mindestanforderung: Unternehmensaccount, Nutzungsregeln</w:t>
      </w:r>
    </w:p>
    <w:p>
      <w:pPr>
        <w:pStyle w:val="ListBullet"/>
      </w:pPr>
      <w:r>
        <w:rPr>
          <w:b/>
          <w:color w:val="0A0E27"/>
        </w:rPr>
        <w:t xml:space="preserve">Vertraulich: </w:t>
      </w:r>
      <w:r>
        <w:rPr>
          <w:color w:val="0A0E27"/>
        </w:rPr>
        <w:t>Beispiele: Strategie, Preise, Verträge, Kundendaten | Mindestanforderung: DPA/AVV, SSO, Rollenrechte, Zweckbindung</w:t>
      </w:r>
    </w:p>
    <w:p>
      <w:pPr>
        <w:pStyle w:val="ListBullet"/>
      </w:pPr>
      <w:r>
        <w:rPr>
          <w:b/>
          <w:color w:val="0A0E27"/>
        </w:rPr>
        <w:t xml:space="preserve">Personenbezogen: </w:t>
      </w:r>
      <w:r>
        <w:rPr>
          <w:color w:val="0A0E27"/>
        </w:rPr>
        <w:t>Beispiele: Mitarbeiter-, Bewerber-, CRM-Daten | Mindestanforderung: Rechtsgrundlage, Löschkonzept, ggf. DSFA-Prüfung</w:t>
      </w:r>
    </w:p>
    <w:p>
      <w:pPr>
        <w:pStyle w:val="ListBullet"/>
      </w:pPr>
      <w:r>
        <w:rPr>
          <w:b/>
          <w:color w:val="0A0E27"/>
        </w:rPr>
        <w:t xml:space="preserve">Besonders sensibel: </w:t>
      </w:r>
      <w:r>
        <w:rPr>
          <w:color w:val="0A0E27"/>
        </w:rPr>
        <w:t>Beispiele: Gesundheit, Gehalt, Mandats-/Patientendaten | Mindestanforderung: Einzelfallfreigabe, strenge Protokollierung</w:t>
      </w:r>
    </w:p>
    <w:p/>
    <w:p>
      <w:pPr>
        <w:pStyle w:val="Heading1"/>
      </w:pPr>
      <w:r>
        <w:t>4. Anbietercheckliste</w:t>
      </w:r>
    </w:p>
    <w:p>
      <w:pPr>
        <w:pStyle w:val="ListBullet"/>
      </w:pPr>
      <w:r>
        <w:t>AVV/DPA vorhanden</w:t>
      </w:r>
    </w:p>
    <w:p>
      <w:pPr>
        <w:pStyle w:val="ListBullet"/>
      </w:pPr>
      <w:r>
        <w:t>Training-Opt-out geklärt</w:t>
      </w:r>
    </w:p>
    <w:p>
      <w:pPr>
        <w:pStyle w:val="ListBullet"/>
      </w:pPr>
      <w:r>
        <w:t>Subprozessoren dokumentiert</w:t>
      </w:r>
    </w:p>
    <w:p>
      <w:pPr>
        <w:pStyle w:val="ListBullet"/>
      </w:pPr>
      <w:r>
        <w:t>Datenresidenz bekannt</w:t>
      </w:r>
    </w:p>
    <w:p>
      <w:pPr>
        <w:pStyle w:val="ListBullet"/>
      </w:pPr>
      <w:r>
        <w:t>SSO/SCIM möglich</w:t>
      </w:r>
    </w:p>
    <w:p>
      <w:pPr>
        <w:pStyle w:val="ListBullet"/>
      </w:pPr>
      <w:r>
        <w:t>Rollenrechte und Admin-Konsole vorhanden</w:t>
      </w:r>
    </w:p>
    <w:p>
      <w:pPr>
        <w:pStyle w:val="ListBullet"/>
      </w:pPr>
      <w:r>
        <w:t>Audit-Logs exportierbar</w:t>
      </w:r>
    </w:p>
    <w:p>
      <w:pPr>
        <w:pStyle w:val="ListBullet"/>
      </w:pPr>
      <w:r>
        <w:t>Löschfristen und Exit-Prozess dokumentiert</w:t>
      </w:r>
    </w:p>
    <w:p>
      <w:pPr>
        <w:pStyle w:val="ListBullet"/>
      </w:pPr>
      <w:r>
        <w:t>Incident-Response mit Meldefristen definiert</w:t>
      </w:r>
    </w:p>
    <w:p>
      <w:pPr>
        <w:pStyle w:val="ListBullet"/>
      </w:pPr>
      <w:r>
        <w:t>SOC 2 / ISO 27001 oder vergleichbare Nachweise geprüft</w:t>
      </w:r>
    </w:p>
    <w:p>
      <w:pPr>
        <w:pStyle w:val="Heading1"/>
      </w:pPr>
      <w:r>
        <w:t>5. Incident- und Rollback-Plan</w:t>
      </w:r>
    </w:p>
    <w:p>
      <w:r>
        <w:t>Für jedes produktive Tool müssen Sperrung, Log-Export, Anbieterkommunikation, interne Meldung, Abschalten von Integrationen und Nutzerinformation vor dem Rollout geklärt sein.</w:t>
      </w:r>
    </w:p>
    <w:p>
      <w:pPr>
        <w:pStyle w:val="Heading1"/>
      </w:pPr>
      <w:r>
        <w:t>6. Review</w:t>
      </w:r>
    </w:p>
    <w:p>
      <w:r>
        <w:t>Jedes Tool wird mindestens quartalsweise überprüft: Nutzen, Kosten, aktive Nutzer, neue Funktionen, offene Risiken, Datenschutzstatus und erforderliche Schulungen.</w:t>
      </w:r>
    </w:p>
    <w:sectPr w:rsidR="00FC693F" w:rsidRPr="0006063C" w:rsidSect="00034616">
      <w:pgSz w:w="12240" w:h="15840"/>
      <w:pgMar w:top="964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A0E27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5B4AE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5B4AE3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