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5B4AE3"/>
          <w:sz w:val="46"/>
        </w:rPr>
        <w:t>Kanzlei-KI-Policy</w:t>
      </w:r>
    </w:p>
    <w:p>
      <w:r>
        <w:rPr>
          <w:color w:val="525874"/>
          <w:sz w:val="21"/>
        </w:rPr>
        <w:t>Umfassende Vorlage für Steuerkanzleien: Mandatsdaten, Quellenpflicht, Freigabe, GoBD und KI-Nutzung.</w:t>
      </w:r>
    </w:p>
    <w:p>
      <w:pPr>
        <w:spacing w:after="240"/>
      </w:pPr>
      <w:r>
        <w:rPr>
          <w:i/>
          <w:color w:val="525874"/>
          <w:sz w:val="17"/>
        </w:rPr>
        <w:t>Redaktionelle Arbeitsvorlage von KI-Radar.net. Keine Rechts-, Steuer-, Datenschutz-, Berufsrechts- oder IT-Sicherheitsberatung und keine Zusicherung von Compliance. Vor produktiver Nutzung durch die zuständigen Verantwortlichen prüfen, anpassen und freigeben lassen.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3F0FF"/>
          </w:tcPr>
          <w:p>
            <w:r>
              <w:rPr>
                <w:b/>
                <w:color w:val="5B4AE3"/>
                <w:sz w:val="19"/>
              </w:rPr>
              <w:t xml:space="preserve">Einsatzprinzip: </w:t>
            </w:r>
            <w:r>
              <w:rPr>
                <w:color w:val="0A0E27"/>
                <w:sz w:val="18"/>
              </w:rPr>
              <w:t>KI-Systeme dürfen Recherche, Strukturierung, Formulierung und Vorbereitung unterstützen. Die steuerfachliche Bewertung, Mandantenkommunikation und Aktenverantwortung bleiben bei der Kanzlei.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3F0FF"/>
          </w:tcPr>
          <w:p>
            <w:r>
              <w:rPr>
                <w:b/>
                <w:color w:val="5B4AE3"/>
                <w:sz w:val="19"/>
              </w:rPr>
              <w:t xml:space="preserve">Rechtliche Grenze: </w:t>
            </w:r>
            <w:r>
              <w:rPr>
                <w:color w:val="0A0E27"/>
                <w:sz w:val="18"/>
              </w:rPr>
              <w:t>Die Vorlage ist kein Rechtsgutachten und keine berufsrechtliche Freigabe. Kanzleien müssen insbesondere Mandatsgeheimnis, Datenschutz, Auftragsverarbeitung, Berufsrecht, GoBD-Bezug, DATEV-/DMS-Datenflüsse und interne Verantwortlichkeiten im Einzelfall prüfen.</w:t>
            </w:r>
          </w:p>
        </w:tc>
      </w:tr>
    </w:tbl>
    <w:p/>
    <w:p>
      <w:pPr>
        <w:pStyle w:val="Heading1"/>
      </w:pPr>
      <w:r>
        <w:t>1. Zweck, Geltungsbereich und Grundsatz</w:t>
      </w:r>
    </w:p>
    <w:p>
      <w:r>
        <w:t>Diese Vorlage regelt, wie KI-Systeme in der Kanzlei eingeführt, genutzt, dokumentiert und überprüft werden. Sie gilt für Partner, Mitarbeitende, freie Mitarbeitende und externe Dienstleister, soweit diese im Auftrag der Kanzlei mit KI-Systemen arbeiten.</w:t>
      </w:r>
    </w:p>
    <w:p>
      <w:pPr>
        <w:pStyle w:val="ListBullet"/>
        <w:spacing w:after="40"/>
      </w:pPr>
      <w:r>
        <w:rPr>
          <w:sz w:val="19"/>
        </w:rPr>
        <w:t>KI-Ausgaben sind Arbeitsentwürfe und ersetzen keine fachliche Prüfung.</w:t>
      </w:r>
    </w:p>
    <w:p>
      <w:pPr>
        <w:pStyle w:val="ListBullet"/>
        <w:spacing w:after="40"/>
      </w:pPr>
      <w:r>
        <w:rPr>
          <w:sz w:val="19"/>
        </w:rPr>
        <w:t>Mandatsdaten dürfen nur in freigegebenen Kanzlei- oder Unternehmensaccounts verarbeitet werden.</w:t>
      </w:r>
    </w:p>
    <w:p>
      <w:pPr>
        <w:pStyle w:val="ListBullet"/>
        <w:spacing w:after="40"/>
      </w:pPr>
      <w:r>
        <w:rPr>
          <w:sz w:val="19"/>
        </w:rPr>
        <w:t>Rechtsstand, Quellen, Annahmen und Freigabe müssen nachvollziehbar dokumentiert sein.</w:t>
      </w:r>
    </w:p>
    <w:p>
      <w:pPr>
        <w:pStyle w:val="ListBullet"/>
        <w:spacing w:after="40"/>
      </w:pPr>
      <w:r>
        <w:rPr>
          <w:sz w:val="19"/>
        </w:rPr>
        <w:t>Private KI-Konten sind für Mandats-, Personal- oder Kanzleidaten nicht zulässig.</w:t>
      </w:r>
    </w:p>
    <w:p>
      <w:pPr>
        <w:pStyle w:val="ListBullet"/>
        <w:spacing w:after="40"/>
      </w:pPr>
      <w:r>
        <w:rPr>
          <w:sz w:val="19"/>
        </w:rPr>
        <w:t>Diese Vorlage darf nicht als Mandatsvereinbarung, Datenschutz-Freigabe oder berufsrechtliche Stellungnahme verwendet werden.</w:t>
      </w:r>
    </w:p>
    <w:p>
      <w:pPr>
        <w:pStyle w:val="Heading1"/>
      </w:pPr>
      <w:r>
        <w:t>1a. Vor produktiver Nutzung zwingend zu klären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Prüfbereich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Warum relevant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Mindestnachweis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Berufsgeheimnis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Mandatsinformationen können fremde Geheimnisse, Geschäftsgeheimnisse oder personenbezogene Daten enthalten.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Dokumentierte Freigabe, Datenminimierung, Anbieterrolle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Auskunftsverweigerungsrechte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Kanzlei- und Mandatsdaten müssen so organisiert sein, dass Schutzrechte nicht durch Tool-Zugriffe unterlaufen werden.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DMS-/Akte-Rechte, Zugriffstest, Lösch-/Exportkonzept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Auftragsverarbeitung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Bei Verarbeitung personenbezogener Daten braucht es eine belastbare vertragliche und technische Prüfung.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AVV/DPA, TOMs, Subprozessoren, Datenresidenz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DATEV/DMS/DUO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Integrationen können Belege, Akten, Mandantennamen oder Kommunikation breiter sichtbar machen.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Datenflussdiagramm und Rollenprüfung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Fachliche Haftung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KI kann plausibel formulieren, aber falsch rechnen, alte Rechtsstände nutzen oder Quellen erfinden.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Vier-Augen-Prüfung, Quellenliste, Aktennotiz</w:t>
            </w:r>
          </w:p>
        </w:tc>
      </w:tr>
    </w:tbl>
    <w:p/>
    <w:p>
      <w:pPr>
        <w:pStyle w:val="Heading1"/>
      </w:pPr>
      <w:r>
        <w:t>2. Rollen und Verantwortlichkeiten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Rolle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Verantwortung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Mindestaufgabe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Kanzleileitung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Risikofreigabe, Tool-Auswahl, Budget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Policy freigeben und Review-Termin setzen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KI-Owner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Tool-Betrieb, Nutzerkreis, Schulung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Quartalsweise Nutzung, Kosten und Risiken prüfen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Fachverantwortliche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Quellenprüfung, fachliche Freigabe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Akte mit Rechtsstand und Prüfschritt ergänzen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IT/Datenschutz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AVV/DPA, Berechtigungen, Logs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Anbieterprüfung und Löschkonzept dokumentieren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Mitarbeitende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Regelkonforme Nutzung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Keine sensiblen Daten in nicht freigegebene Tools eingeben</w:t>
            </w:r>
          </w:p>
        </w:tc>
      </w:tr>
    </w:tbl>
    <w:p/>
    <w:p>
      <w:pPr>
        <w:pStyle w:val="Heading1"/>
      </w:pPr>
      <w:r>
        <w:t>3. Datenklassen für die Kanzlei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2578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Datenklasse</w:t>
            </w:r>
          </w:p>
        </w:tc>
        <w:tc>
          <w:tcPr>
            <w:tcW w:type="dxa" w:w="2578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Beispiele</w:t>
            </w:r>
          </w:p>
        </w:tc>
        <w:tc>
          <w:tcPr>
            <w:tcW w:type="dxa" w:w="2578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KI-Nutzung</w:t>
            </w:r>
          </w:p>
        </w:tc>
        <w:tc>
          <w:tcPr>
            <w:tcW w:type="dxa" w:w="2578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Freigabe</w:t>
            </w:r>
          </w:p>
        </w:tc>
      </w:tr>
      <w:tr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Öffentlich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Gesetze, BMF-Schreiben, veröffentlichte Urteile, allgemeine Checklisten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In freigegebenen Recherche- und Texttools möglich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Teamregel reicht</w:t>
            </w:r>
          </w:p>
        </w:tc>
      </w:tr>
      <w:tr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Intern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Kanzleivorlagen, Prozesslisten, Schulungsunterlagen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Nur in Kanzleiaccounts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KI-Owner</w:t>
            </w:r>
          </w:p>
        </w:tc>
      </w:tr>
      <w:tr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Mandatsbezogen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Belege, Namen, Steuernummern, Verträge, Einkommen, BWA, Jahresabschlussdaten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Nur mit AVV/DPA, Zweckbindung, Rollenrechten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Partner oder Fachverantwortliche</w:t>
            </w:r>
          </w:p>
        </w:tc>
      </w:tr>
      <w:tr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Besonders sensibel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Gesundheitsdaten, Gehaltslisten, strafrechtliche Bezüge, private Lebensumstände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Nur nach Einzelfallprüfung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Kanzleileitung + Datenschutz</w:t>
            </w:r>
          </w:p>
        </w:tc>
      </w:tr>
      <w:tr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Nie zulässig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Passwörter, private Zugangsdaten, unmaskierte Massendaten ohne Freigabe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Nicht eingeben</w:t>
            </w:r>
          </w:p>
        </w:tc>
        <w:tc>
          <w:tcPr>
            <w:tcW w:type="dxa" w:w="2578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Keine Ausnahme ohne dokumentierten Sonderprozess</w:t>
            </w:r>
          </w:p>
        </w:tc>
      </w:tr>
    </w:tbl>
    <w:p/>
    <w:p>
      <w:pPr>
        <w:pStyle w:val="Heading1"/>
      </w:pPr>
      <w:r>
        <w:t>4. Erlaubte Einsatzfelder</w:t>
      </w:r>
    </w:p>
    <w:p>
      <w:pPr>
        <w:pStyle w:val="ListBullet"/>
        <w:spacing w:after="40"/>
      </w:pPr>
      <w:r>
        <w:rPr>
          <w:sz w:val="19"/>
        </w:rPr>
        <w:t>Recherchevorbereitung: Suchstrategie, Gliederung, offene Rechtsfragen, Quellenliste.</w:t>
      </w:r>
    </w:p>
    <w:p>
      <w:pPr>
        <w:pStyle w:val="ListBullet"/>
        <w:spacing w:after="40"/>
      </w:pPr>
      <w:r>
        <w:rPr>
          <w:sz w:val="19"/>
        </w:rPr>
        <w:t>Mandantenkommunikation: Entwürfe für verständliche Erklärtexte, aber keine ungeprüfte Einzelfallberatung.</w:t>
      </w:r>
    </w:p>
    <w:p>
      <w:pPr>
        <w:pStyle w:val="ListBullet"/>
        <w:spacing w:after="40"/>
      </w:pPr>
      <w:r>
        <w:rPr>
          <w:sz w:val="19"/>
        </w:rPr>
        <w:t>Beleg- und Prozessarbeit: Strukturierung, Checklisten, Dublettenhinweise, aber keine automatische Buchungsfreigabe ohne Kontrolle.</w:t>
      </w:r>
    </w:p>
    <w:p>
      <w:pPr>
        <w:pStyle w:val="ListBullet"/>
        <w:spacing w:after="40"/>
      </w:pPr>
      <w:r>
        <w:rPr>
          <w:sz w:val="19"/>
        </w:rPr>
        <w:t>Wissensmanagement: Zusammenfassung interner Schulungen, Prozessdokumente und Kanzleistandards.</w:t>
      </w:r>
    </w:p>
    <w:p>
      <w:pPr>
        <w:pStyle w:val="ListBullet"/>
        <w:spacing w:after="40"/>
      </w:pPr>
      <w:r>
        <w:rPr>
          <w:sz w:val="19"/>
        </w:rPr>
        <w:t>Qualitätssicherung: Plausibilitätsfragen, Prüflisten und zweite Lesart für wiederkehrende Vorgänge.</w:t>
      </w:r>
    </w:p>
    <w:p>
      <w:pPr>
        <w:pStyle w:val="Heading1"/>
      </w:pPr>
      <w:r>
        <w:t>5. Nicht erlaubte Nutzung</w:t>
      </w:r>
    </w:p>
    <w:p>
      <w:pPr>
        <w:pStyle w:val="ListBullet"/>
        <w:spacing w:after="40"/>
      </w:pPr>
      <w:r>
        <w:rPr>
          <w:sz w:val="19"/>
        </w:rPr>
        <w:t>Ungeprüfte Übernahme fachlicher Antworten in Mandantenmails, Einsprüche oder Stellungnahmen.</w:t>
      </w:r>
    </w:p>
    <w:p>
      <w:pPr>
        <w:pStyle w:val="ListBullet"/>
        <w:spacing w:after="40"/>
      </w:pPr>
      <w:r>
        <w:rPr>
          <w:sz w:val="19"/>
        </w:rPr>
        <w:t>Eingabe vollständiger Mandatsakten in private oder nicht freigegebene KI-Tools.</w:t>
      </w:r>
    </w:p>
    <w:p>
      <w:pPr>
        <w:pStyle w:val="ListBullet"/>
        <w:spacing w:after="40"/>
      </w:pPr>
      <w:r>
        <w:rPr>
          <w:sz w:val="19"/>
        </w:rPr>
        <w:t>Automatisierte Bewertung von Mitarbeitenden, Bewerbern oder Mandanten ohne gesonderte Prüfung.</w:t>
      </w:r>
    </w:p>
    <w:p>
      <w:pPr>
        <w:pStyle w:val="ListBullet"/>
        <w:spacing w:after="40"/>
      </w:pPr>
      <w:r>
        <w:rPr>
          <w:sz w:val="19"/>
        </w:rPr>
        <w:t>Verarbeitung besonderer personenbezogener Daten ohne dokumentierte Rechtsgrundlage und Freigabe.</w:t>
      </w:r>
    </w:p>
    <w:p>
      <w:pPr>
        <w:pStyle w:val="ListBullet"/>
        <w:spacing w:after="40"/>
      </w:pPr>
      <w:r>
        <w:rPr>
          <w:sz w:val="19"/>
        </w:rPr>
        <w:t>KI-generierte Quellen oder Zitate ohne Primärquellenprüfung.</w:t>
      </w:r>
    </w:p>
    <w:p>
      <w:pPr>
        <w:pStyle w:val="Heading1"/>
      </w:pPr>
      <w:r>
        <w:t>6. Standard-Workflow für fachliche Nutzung</w:t>
      </w:r>
    </w:p>
    <w:p>
      <w:pPr>
        <w:pStyle w:val="ListNumber"/>
        <w:spacing w:after="40"/>
      </w:pPr>
      <w:r>
        <w:rPr>
          <w:sz w:val="19"/>
        </w:rPr>
        <w:t>Zweck festlegen: Recherche, Entwurf, Strukturierung oder Plausibilitätscheck.</w:t>
      </w:r>
    </w:p>
    <w:p>
      <w:pPr>
        <w:pStyle w:val="ListNumber"/>
        <w:spacing w:after="40"/>
      </w:pPr>
      <w:r>
        <w:rPr>
          <w:sz w:val="19"/>
        </w:rPr>
        <w:t>Datenklasse bestimmen und sensible Informationen minimieren oder pseudonymisieren.</w:t>
      </w:r>
    </w:p>
    <w:p>
      <w:pPr>
        <w:pStyle w:val="ListNumber"/>
        <w:spacing w:after="40"/>
      </w:pPr>
      <w:r>
        <w:rPr>
          <w:sz w:val="19"/>
        </w:rPr>
        <w:t>Freigegebenes Tool nutzen und Prompt so formulieren, dass Rechtsstand und Quellen verlangt werden.</w:t>
      </w:r>
    </w:p>
    <w:p>
      <w:pPr>
        <w:pStyle w:val="ListNumber"/>
        <w:spacing w:after="40"/>
      </w:pPr>
      <w:r>
        <w:rPr>
          <w:sz w:val="19"/>
        </w:rPr>
        <w:t>Antwort gegen Primärquelle, Datenbestand oder Kanzleistandard prüfen.</w:t>
      </w:r>
    </w:p>
    <w:p>
      <w:pPr>
        <w:pStyle w:val="ListNumber"/>
        <w:spacing w:after="40"/>
      </w:pPr>
      <w:r>
        <w:rPr>
          <w:sz w:val="19"/>
        </w:rPr>
        <w:t>Offene Annahmen markieren und bei fachlichen Aussagen Vier-Augen-Prinzip nutzen.</w:t>
      </w:r>
    </w:p>
    <w:p>
      <w:pPr>
        <w:pStyle w:val="ListNumber"/>
        <w:spacing w:after="40"/>
      </w:pPr>
      <w:r>
        <w:rPr>
          <w:sz w:val="19"/>
        </w:rPr>
        <w:t>Ergebnis, Tool, Datum, Quellenstand und Freigabe in der Akte dokumentieren.</w:t>
      </w:r>
    </w:p>
    <w:p>
      <w:pPr>
        <w:pStyle w:val="Heading1"/>
      </w:pPr>
      <w:r>
        <w:t>7. Quellenpflicht und Rechtsstand</w:t>
      </w:r>
    </w:p>
    <w:p>
      <w:pPr>
        <w:pStyle w:val="ListBullet"/>
        <w:spacing w:after="40"/>
      </w:pPr>
      <w:r>
        <w:rPr>
          <w:sz w:val="19"/>
        </w:rPr>
        <w:t>Bei fachlichen Aussagen ist der relevante Rechtsstand zu nennen.</w:t>
      </w:r>
    </w:p>
    <w:p>
      <w:pPr>
        <w:pStyle w:val="ListBullet"/>
        <w:spacing w:after="40"/>
      </w:pPr>
      <w:r>
        <w:rPr>
          <w:sz w:val="19"/>
        </w:rPr>
        <w:t>KI-Antworten ohne Quelle gelten als Hinweis, nicht als verwertbare Begründung.</w:t>
      </w:r>
    </w:p>
    <w:p>
      <w:pPr>
        <w:pStyle w:val="ListBullet"/>
        <w:spacing w:after="40"/>
      </w:pPr>
      <w:r>
        <w:rPr>
          <w:sz w:val="19"/>
        </w:rPr>
        <w:t>Sekundärquellen werden gegen Gesetz, Verwaltungsanweisung, Rechtsprechung oder anerkannte Fachdatenbank geprüft.</w:t>
      </w:r>
    </w:p>
    <w:p>
      <w:pPr>
        <w:pStyle w:val="ListBullet"/>
        <w:spacing w:after="40"/>
      </w:pPr>
      <w:r>
        <w:rPr>
          <w:sz w:val="19"/>
        </w:rPr>
        <w:t>Widersprüche zwischen KI-Ausgabe und Fachquelle werden dokumentiert und nicht glattgezogen.</w:t>
      </w:r>
    </w:p>
    <w:p>
      <w:pPr>
        <w:pStyle w:val="Heading1"/>
      </w:pPr>
      <w:r>
        <w:t>8. Anbietercheck vor Freigabe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Prüffrage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Mindestanforderung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AVV/DPA vorhanden?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Ja, vor Verarbeitung personenbezogener Daten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Offen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Training mit Eingaben ausgeschlossen?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Opt-out oder vertragliche Zusage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Offen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Datenresidenz und Subprozessoren bekannt?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Dokumentiert und bewertet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Offen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SSO, Rollenrechte, Löschung, Export?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Vor Pilot geklärt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Offen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DATEV-/DMS-/DUO-Anbindung betroffen?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Berechtigungen und Logging geprüft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Offen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Support und Incident-Prozess vorhanden?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Kontaktweg und Fristen dokumentiert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Offen</w:t>
            </w:r>
          </w:p>
        </w:tc>
      </w:tr>
    </w:tbl>
    <w:p/>
    <w:p>
      <w:pPr>
        <w:pStyle w:val="Heading1"/>
      </w:pPr>
      <w:r>
        <w:t>9. Aktennotiz-Vorlage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Feld</w:t>
            </w:r>
          </w:p>
        </w:tc>
        <w:tc>
          <w:tcPr>
            <w:tcW w:type="dxa" w:w="5156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Eintrag</w:t>
            </w:r>
          </w:p>
        </w:tc>
      </w:tr>
      <w:tr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Tool</w:t>
            </w:r>
          </w:p>
        </w:tc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[Name des freigegebenen KI-Tools]</w:t>
            </w:r>
          </w:p>
        </w:tc>
      </w:tr>
      <w:tr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Datum und Nutzer</w:t>
            </w:r>
          </w:p>
        </w:tc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[TT.MM.JJJJ, Name]</w:t>
            </w:r>
          </w:p>
        </w:tc>
      </w:tr>
      <w:tr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Zweck</w:t>
            </w:r>
          </w:p>
        </w:tc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[Recherche / Entwurf / Strukturierung / Prüfung]</w:t>
            </w:r>
          </w:p>
        </w:tc>
      </w:tr>
      <w:tr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Datenklasse</w:t>
            </w:r>
          </w:p>
        </w:tc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[öffentlich / intern / mandatsbezogen / sensibel]</w:t>
            </w:r>
          </w:p>
        </w:tc>
      </w:tr>
      <w:tr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Geprüfte Quellen</w:t>
            </w:r>
          </w:p>
        </w:tc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[Gesetz, Kommentar, Datenbank, Kanzleistandard]</w:t>
            </w:r>
          </w:p>
        </w:tc>
      </w:tr>
      <w:tr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Freigabe</w:t>
            </w:r>
          </w:p>
        </w:tc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[Name, Datum, ggf. Vier-Augen-Prüfung]</w:t>
            </w:r>
          </w:p>
        </w:tc>
      </w:tr>
      <w:tr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Offene Annahmen</w:t>
            </w:r>
          </w:p>
        </w:tc>
        <w:tc>
          <w:tcPr>
            <w:tcW w:type="dxa" w:w="5156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[Unklarheiten, Rückfragen, Ausschlüsse]</w:t>
            </w:r>
          </w:p>
        </w:tc>
      </w:tr>
    </w:tbl>
    <w:p/>
    <w:p>
      <w:pPr>
        <w:pStyle w:val="Heading1"/>
      </w:pPr>
      <w:r>
        <w:t>10. Schulung, Review und Aktualisierung</w:t>
      </w:r>
    </w:p>
    <w:p>
      <w:pPr>
        <w:pStyle w:val="ListBullet"/>
        <w:spacing w:after="40"/>
      </w:pPr>
      <w:r>
        <w:rPr>
          <w:sz w:val="19"/>
        </w:rPr>
        <w:t>Neue Nutzer erhalten eine kurze Pflichtschulung zu Datenklassen, Quellenprüfung und verbotener Nutzung.</w:t>
      </w:r>
    </w:p>
    <w:p>
      <w:pPr>
        <w:pStyle w:val="ListBullet"/>
        <w:spacing w:after="40"/>
      </w:pPr>
      <w:r>
        <w:rPr>
          <w:sz w:val="19"/>
        </w:rPr>
        <w:t>Die Kanzlei prüft quartalsweise: aktive Tools, Nutzerkreis, Kosten, Vorfälle, neue Anbieterbedingungen und Prozessqualität.</w:t>
      </w:r>
    </w:p>
    <w:p>
      <w:pPr>
        <w:pStyle w:val="ListBullet"/>
        <w:spacing w:after="40"/>
      </w:pPr>
      <w:r>
        <w:rPr>
          <w:sz w:val="19"/>
        </w:rPr>
        <w:t>Bei neuen Integrationen, Preisänderungen, Datenschutzänderungen oder relevanter Rechtsprechung erfolgt eine außerplanmäßige Prüfung.</w:t>
      </w:r>
    </w:p>
    <w:p>
      <w:pPr>
        <w:pStyle w:val="Heading1"/>
      </w:pPr>
      <w:r>
        <w:t>11. Incident-Prozess</w:t>
      </w:r>
    </w:p>
    <w:p>
      <w:pPr>
        <w:pStyle w:val="ListNumber"/>
        <w:spacing w:after="40"/>
      </w:pPr>
      <w:r>
        <w:rPr>
          <w:sz w:val="19"/>
        </w:rPr>
        <w:t>Nutzung stoppen und betroffene Eingaben sichern.</w:t>
      </w:r>
    </w:p>
    <w:p>
      <w:pPr>
        <w:pStyle w:val="ListNumber"/>
        <w:spacing w:after="40"/>
      </w:pPr>
      <w:r>
        <w:rPr>
          <w:sz w:val="19"/>
        </w:rPr>
        <w:t>KI-Owner, Datenschutz und Kanzleileitung informieren.</w:t>
      </w:r>
    </w:p>
    <w:p>
      <w:pPr>
        <w:pStyle w:val="ListNumber"/>
        <w:spacing w:after="40"/>
      </w:pPr>
      <w:r>
        <w:rPr>
          <w:sz w:val="19"/>
        </w:rPr>
        <w:t>Datenklasse, Umfang, Tool, Nutzer und Zeitpunkt dokumentieren.</w:t>
      </w:r>
    </w:p>
    <w:p>
      <w:pPr>
        <w:pStyle w:val="ListNumber"/>
        <w:spacing w:after="40"/>
      </w:pPr>
      <w:r>
        <w:rPr>
          <w:sz w:val="19"/>
        </w:rPr>
        <w:t>Anbieter kontaktieren, Löschung oder Sperrung prüfen.</w:t>
      </w:r>
    </w:p>
    <w:p>
      <w:pPr>
        <w:pStyle w:val="ListNumber"/>
        <w:spacing w:after="40"/>
      </w:pPr>
      <w:r>
        <w:rPr>
          <w:sz w:val="19"/>
        </w:rPr>
        <w:t>Mandanten-, Aufsichts- oder interne Meldepflichten bewerten.</w:t>
      </w:r>
    </w:p>
    <w:p>
      <w:pPr>
        <w:pStyle w:val="ListNumber"/>
        <w:spacing w:after="40"/>
      </w:pPr>
      <w:r>
        <w:rPr>
          <w:sz w:val="19"/>
        </w:rPr>
        <w:t>Ursache beheben und Policy/Schulung anpassen.</w:t>
      </w:r>
    </w:p>
    <w:p>
      <w:pPr>
        <w:pStyle w:val="Heading1"/>
      </w:pPr>
      <w:r>
        <w:t>12. DATEV-, DMS- und DUO-Prüfung</w:t>
      </w:r>
    </w:p>
    <w:p>
      <w:r>
        <w:t>Wenn ein KI-Tool mit DATEV Unternehmen online, DMS, Kanzlei-Wissensdatenbanken oder Mandantenportalen zusammenspielt, reicht eine reine Tool-Freigabe nicht aus. Entscheidend ist, welche Daten automatisiert übertragen werden, welche Rollen Zugriff erhalten und ob Beleg-, Akten- oder Kommunikationsdaten wieder exportiert oder gelöscht werden können.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Systembezug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Prüffrage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Dokumentation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DATEV/DUO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Werden Belegbilder, Buchungstexte oder Mandantennamen verarbeitet?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Datenflussdiagramm und Zweck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DMS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Erbt das Tool Aktenrechte korrekt oder indexiert es zu breit?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Rollenprüfung und Stichprobe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E-Mail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Werden Mandantenmails zusammengefasst oder vorgeschlagen?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Freigaberegel vor Versand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Wissensdatenbank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Welche Vorlagen und Fachnotizen sind für KI sichtbar?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Quellenliste und Owner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Export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Wie werden KI-Ergebnisse in Akte oder DMS gespeichert?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Aktennotiz und Löschfrist</w:t>
            </w:r>
          </w:p>
        </w:tc>
      </w:tr>
    </w:tbl>
    <w:p/>
    <w:p>
      <w:pPr>
        <w:pStyle w:val="Heading1"/>
      </w:pPr>
      <w:r>
        <w:t>13. Prompt-Regeln für Kanzleiteams</w:t>
      </w:r>
    </w:p>
    <w:p>
      <w:pPr>
        <w:pStyle w:val="ListBullet"/>
        <w:spacing w:after="40"/>
      </w:pPr>
      <w:r>
        <w:rPr>
          <w:sz w:val="19"/>
        </w:rPr>
        <w:t>Keine vollständigen Namen, Steuernummern oder Mandantennummern verwenden, wenn Pseudonyme reichen.</w:t>
      </w:r>
    </w:p>
    <w:p>
      <w:pPr>
        <w:pStyle w:val="ListBullet"/>
        <w:spacing w:after="40"/>
      </w:pPr>
      <w:r>
        <w:rPr>
          <w:sz w:val="19"/>
        </w:rPr>
        <w:t>Immer Rechtsstand, Quellenart und Unsicherheiten abfragen.</w:t>
      </w:r>
    </w:p>
    <w:p>
      <w:pPr>
        <w:pStyle w:val="ListBullet"/>
        <w:spacing w:after="40"/>
      </w:pPr>
      <w:r>
        <w:rPr>
          <w:sz w:val="19"/>
        </w:rPr>
        <w:t>Bei Entwürfen ausdrücklich verlangen: keine erfundenen Fundstellen, keine finalen Handlungsempfehlungen ohne Prüfung.</w:t>
      </w:r>
    </w:p>
    <w:p>
      <w:pPr>
        <w:pStyle w:val="ListBullet"/>
        <w:spacing w:after="40"/>
      </w:pPr>
      <w:r>
        <w:rPr>
          <w:sz w:val="19"/>
        </w:rPr>
        <w:t>Prompts für wiederkehrende Aufgaben als Kanzleivorlagen pflegen, statt private Prompt-Sammlungen entstehen zu lassen.</w:t>
      </w:r>
    </w:p>
    <w:p>
      <w:pPr>
        <w:pStyle w:val="ListBullet"/>
        <w:spacing w:after="40"/>
      </w:pPr>
      <w:r>
        <w:rPr>
          <w:sz w:val="19"/>
        </w:rPr>
        <w:t>Bei grenzüberschreitenden Sachverhalten den Rechtskreis explizit nennen und fremde Rechtsordnungen ausschließen.</w:t>
      </w:r>
    </w:p>
    <w:p>
      <w:pPr>
        <w:pStyle w:val="Heading1"/>
      </w:pPr>
      <w:r>
        <w:t>14. Mandantenkommunikation: Freigabe vor Versand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Kommunikation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KI darf vorbereiten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Vor Versand prüfen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Allgemeine Erklärung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Verständliche Zusammenfassung, Gliederung, Tonalität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Fachliche Richtigkeit und Rechtsstand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Einzelfallhinweis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Fragenliste und Struktur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Alle Zahlen, Fristen, Risiken und Annahmen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Einspruch/Stellungnahme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Argumentationsskizze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Primärquellen, Begründung, Haftungsrisiko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Honorar-/Angebotstext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Entwurf und Varianten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Konditionen, Mandatsumfang, Verbindlichkeit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Kritischer Mandantenfall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Nur interne Vorbereitung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Partnerfreigabe und Dokumentation</w:t>
            </w:r>
          </w:p>
        </w:tc>
      </w:tr>
    </w:tbl>
    <w:p/>
    <w:p>
      <w:pPr>
        <w:pStyle w:val="Heading1"/>
      </w:pPr>
      <w:r>
        <w:t>15. Monatliche Kontrollliste</w:t>
      </w:r>
    </w:p>
    <w:p>
      <w:pPr>
        <w:pStyle w:val="ListBullet"/>
        <w:spacing w:after="40"/>
      </w:pPr>
      <w:r>
        <w:rPr>
          <w:sz w:val="19"/>
        </w:rPr>
        <w:t>Sind alle genutzten KI-Tools noch freigegeben und vertraglich abgedeckt?</w:t>
      </w:r>
    </w:p>
    <w:p>
      <w:pPr>
        <w:pStyle w:val="ListBullet"/>
        <w:spacing w:after="40"/>
      </w:pPr>
      <w:r>
        <w:rPr>
          <w:sz w:val="19"/>
        </w:rPr>
        <w:t>Gab es Eingaben mit falscher Datenklasse oder unklare Mandatsdatenverarbeitung?</w:t>
      </w:r>
    </w:p>
    <w:p>
      <w:pPr>
        <w:pStyle w:val="ListBullet"/>
        <w:spacing w:after="40"/>
      </w:pPr>
      <w:r>
        <w:rPr>
          <w:sz w:val="19"/>
        </w:rPr>
        <w:t>Wurden neue Funktionen aktiviert, die Datenflüsse oder Rechte verändern?</w:t>
      </w:r>
    </w:p>
    <w:p>
      <w:pPr>
        <w:pStyle w:val="ListBullet"/>
        <w:spacing w:after="40"/>
      </w:pPr>
      <w:r>
        <w:rPr>
          <w:sz w:val="19"/>
        </w:rPr>
        <w:t>Sind Prompt-Vorlagen, Quellenlisten und Freigaberegeln aktuell?</w:t>
      </w:r>
    </w:p>
    <w:p>
      <w:pPr>
        <w:pStyle w:val="ListBullet"/>
        <w:spacing w:after="40"/>
      </w:pPr>
      <w:r>
        <w:rPr>
          <w:sz w:val="19"/>
        </w:rPr>
        <w:t>Wurden neue Mitarbeitende geschult und ausgeschiedene Nutzer entfernt?</w:t>
      </w:r>
    </w:p>
    <w:p>
      <w:pPr>
        <w:pStyle w:val="ListBullet"/>
        <w:spacing w:after="40"/>
      </w:pPr>
      <w:r>
        <w:rPr>
          <w:sz w:val="19"/>
        </w:rPr>
        <w:t>Sind Beispiele für gute und fehlerhafte KI-Nutzung im Team geteilt worden?</w:t>
      </w:r>
    </w:p>
    <w:p>
      <w:pPr>
        <w:pStyle w:val="Heading1"/>
      </w:pPr>
      <w:r>
        <w:t>16. Kurzschulung für Mitarbeitende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Modul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Inhalt</w:t>
            </w:r>
          </w:p>
        </w:tc>
        <w:tc>
          <w:tcPr>
            <w:tcW w:type="dxa" w:w="3437"/>
            <w:vAlign w:val="center"/>
            <w:shd w:fill="5B4AE3"/>
          </w:tcPr>
          <w:p>
            <w:r/>
            <w:r>
              <w:rPr>
                <w:b/>
                <w:color w:val="FFFFFF"/>
                <w:sz w:val="17"/>
              </w:rPr>
              <w:t>Dauer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Grundlagen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Was KI kann, was sie nicht kann, typische Fehler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20 Minuten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Datenklassen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Öffentlich, intern, mandatsbezogen, sensibel, nie zulässig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20 Minuten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Quellenpflicht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Rechtsstand, Primärquellen, Fundstellen, Unsicherheit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25 Minuten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Workflow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Prompt, Prüfung, Freigabe, Aktennotiz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25 Minuten</w:t>
            </w:r>
          </w:p>
        </w:tc>
      </w:tr>
      <w:tr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Incident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Was tun bei falscher Eingabe oder riskanter Ausgabe?</w:t>
            </w:r>
          </w:p>
        </w:tc>
        <w:tc>
          <w:tcPr>
            <w:tcW w:type="dxa" w:w="3437"/>
            <w:vAlign w:val="center"/>
          </w:tcPr>
          <w:p>
            <w:r/>
            <w:r>
              <w:rPr>
                <w:b w:val="0"/>
                <w:color w:val="0A0E27"/>
                <w:sz w:val="17"/>
              </w:rPr>
              <w:t>10 Minuten</w:t>
            </w:r>
          </w:p>
        </w:tc>
      </w:tr>
    </w:tbl>
    <w:p/>
    <w:sectPr w:rsidR="00FC693F" w:rsidRPr="0006063C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A0E2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5B4AE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0A0E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5B4AE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